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728</w:t>
              <w:br/>
              <w:t xml:space="preserve">(ред. от 13.07.2021)</w:t>
              <w:br/>
              <w:t xml:space="preserve">"Об утверждении  федерального государственного образовательного стандарта  среднего профессионального образования по профессии 100120.03 Оператор по обработке перевозочных документов на железнодорожном транспорте"</w:t>
              <w:br/>
              <w:t xml:space="preserve">(Зарегистрировано в Минюсте России 20.08.2013 N 29599)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100120.03 ОПЕРАТОР ПО ОБРАБОТКЕ ПЕРЕВОЗОЧНЫХ</w:t>
      </w:r>
    </w:p>
    <w:p>
      <w:pPr>
        <w:pStyle w:val="2"/>
        <w:jc w:val="center"/>
      </w:pPr>
      <w:r>
        <w:rPr>
          <w:sz w:val="20"/>
        </w:rPr>
        <w:t xml:space="preserve">ДОКУМЕНТОВ НА ЖЕЛЕЗНОДОРОЖНОМ ТРАНСПОРТЕ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100120.03 Оператор по обработке перевозочных документов на железнодорожном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3.05.2010 N 50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20.03 Оператор по обработке перевозочных документов на железнодорожном транспорте&quot; (Зарегистрировано в Минюсте РФ 30.06.2010 N 1766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мая 2010 г. N 504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100120.03 Оператор по обработке перевозочных документов на железнодорожном транспорте" (зарегистрирован Министерством юстиции Российской Федерации 30 июня 2010 г., регистрационный N 17668).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728</w:t>
      </w:r>
    </w:p>
    <w:p>
      <w:pPr>
        <w:pStyle w:val="0"/>
        <w:jc w:val="center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100120.03 ОПЕРАТОР ПО ОБРАБОТКЕ ПЕРЕВОЗОЧНЫХ</w:t>
      </w:r>
    </w:p>
    <w:p>
      <w:pPr>
        <w:pStyle w:val="2"/>
        <w:jc w:val="center"/>
      </w:pPr>
      <w:r>
        <w:rPr>
          <w:sz w:val="20"/>
        </w:rPr>
        <w:t xml:space="preserve">ДОКУМЕНТОВ НА ЖЕЛЕЗНОДОРОЖНОМ ТРАНСПОРТЕ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100120.03 Оператор по обработке перевозочных документов на железнодорожном транспорте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100120.03 Оператор по обработке перевозочных документов на железнодорожном транспорте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100120.03 Оператор по обработке перевозочных документов на железнодорожном транспорте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4"/>
        <w:gridCol w:w="4255"/>
        <w:gridCol w:w="2720"/>
      </w:tblGrid>
      <w:tr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&lt;1&gt;</w:t>
            </w:r>
          </w:p>
        </w:tc>
        <w:tc>
          <w:tcPr>
            <w:tcW w:w="2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&lt;2&gt;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Кассир багажный, товарный (грузовой)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Кассир билетный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обработке перевозочных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Приемосдатчик груза и багажа</w:t>
            </w:r>
          </w:p>
        </w:tc>
        <w:tc>
          <w:tcPr>
            <w:tcW w:w="2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&lt;3&gt;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работы по оперативному учету эксплуатационной деятельности транспортных средств железнодорожного транспорта; перевозка пассажиров и грузов; проведение приема и отправки грузов; розыск пропавших грузов; продажа и оформление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проездные и перевозочные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транспортные конторы, их оборудование и технологический процесс регистрации и кодирования перевозочных и проездных документов для информационно-вычислительного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билетные и багажные кассы, их оборудование и технологический процесс продажи и оформления проездных и перевозочных документов на железнодорожном транспорте;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грузы, технологический процесс их приемки и погрузки в вагон.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100120.03 Оператор по обработке перевозочных документов на железнодорожном транспорте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работ оператора по обработке перевозочных документов на железнодорожном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кассира билетного.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кассира багажного, товарного (грузового).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приемосдатчика груза и багажа.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работ оператора по обработке перевозочных документов на железнодорожном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Регистрировать и кодировать перевозочные и проездные документы с помощью видеотерминалов и компьютеров.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Проверять правильность расчетов за перевозку пассажиров, багажа, грузобагажа.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Готовить и отправлять информацию на станции, в информационно-вычислительные центры, финансовую службу управления железных дорог, отделения банка, составлять отчеты.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кассира билетного.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Оформлять и продавать проездные и перевозочные документы на железнодорожном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Принимать проездные и перевозочные документы от граждан в случаях их отказа от поездки и возвращать им деньги.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Получать, хранить и сдавать денежные средства и бланки строгой отчетности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кассира багажного, товарного (грузового).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расчеты с клиентами за оказание услуг, начислять сборы и штрафные платежи.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операции по приему, учету и хранению денежных сумм и бланков строгого учета, оформлять страхование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приемосдатчика груза и багажа.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выполнение технических требований и требований охраны труда при погрузке и выгрузке груза и багажа на станциях.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Проверять правильность размещения и крепления грузов в соответствии с техническими условиями для обеспечения сохранности грузов и безопасности 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Оформлять сопроводительные документы.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393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при освоении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в пределах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продукции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железнодорожного транспорта, необходимые для выполнения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регулирующие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Экономические и правовые основы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охраны труда в профессиональной деятельности и требования безопасности при нахождении на железнодорожных путях;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соответствие условий труда по трудовому договору требованиям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 значимые положения законов и иных нормативных правовых актов, в т.ч. инструкции по охране труда рабочих железнодорожного транспорта, общие меры безопасности при нахождении на железнодорожных путях;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вредные и опасные производственные факторы и соответствующие им риски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труда в избранной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снижения вероятности возникновения опасностей и их последствий в профессиональной деятельности.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типы и назначение локомотивов, вагонов, знаки на подвижном составе, используемую терминологию и условные обозначения;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взаимодействия пути и подвижного состава, устройства автоматики, телемеханики и связи, основные правила организации движения и перевозки грузов.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Общий курс железных дорог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информационные ресурсы сети Интернет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использования ресурсов сети Интернет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технологию эксплуатации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Информационно-коммуникационные технологии в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оператора по обработке перевозочных документов на железнодорожном транспорте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перевозочных документов с помощью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работы кассиров;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обработки перевозочных и проездных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работу кассиров;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тарифными руководствами;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Устав железнодорожного транспорта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перевозки пассажиров и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оперативного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обработки проездных и перевозочных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основы и требования деятельности кассиров билетных и кассиров багажных, товарных и грузовых;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документов для информационно-вычислительных центров, станций, финансовых служб дорог и отделений банков;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компьютеров, видеотерминалов и других счетно-суммирующих машин.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деятельности оператора по обработке проездных и перевозочных документов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кассира билетного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продажи проездных и перевозочных документов вручную и с использованием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проездных и перевозочных документов от граждан в случаях их отказа от поездки и возвращения им денег;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получения, хранения и сдачи денежных средств и бланков строгой отчетности в установленном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продавать пассажирам проездные и перевозочные документы на железнодорожном транспорте вручную и с использованием билетопечатающих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заявок на билеты, в том числе заявок от организаций и учреждений на групповые перевозки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перевозок пассажиров и багажа на железнодорожном транспорте;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тарифы, порядок расчета стоимости проезда;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расположения мест в вагонах;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железных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движения 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получению, хранению и сдаче денежных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установленную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взаимодействия с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оперативного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обработки проездных и перевозочных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основы и требования к деятельности кассиров билетных и кассиров багажных, товарных (грузовых);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документов для информационно-вычислительных центров, станций, финансовой службы дорог и отделения банка, порядок составления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компьютеров, видеотерминалов и других счетно-суммирующих машин.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выполнения работ кассира билетного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кассира багажного, товарного (грузового)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 на перевозку груза и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проверять документы по приему, погрузке, выдаче грузов и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прием, учет и хранение денежных сумм;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инструкциями и тарифными руководствами;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транспортной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грузовой и финансовой документации; правила и нормы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с электронными машинами.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выполнения работ кассира багажного, товарного (грузового)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приемосдатчика груза и багажа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операций по приему и выдаче грузов и багажа, перевозимых железнодорожным транспортом, и передачи их на другие виды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грузовые и коммерческие операции по приему, перевозке, хранению и выдаче грузов и багажа, перевозимых железнодорожным транспортом и другими видами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правильность использования технического оборудования и выполнения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сопроводительные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перевозок и порядок оформления документов на перевозку грузов и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погрузки и крепления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ведению станционной коммерческой отчетности о порядке и технологии взвешивания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перевозки опасных грузов и порядок ликвидации связанных с ними аварийных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работы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инструкцию по перевозке негабаритных и тяжеловесных грузов;</w:t>
            </w:r>
          </w:p>
          <w:p>
            <w:pPr>
              <w:pStyle w:val="0"/>
            </w:pPr>
            <w:hyperlink w:history="0" r:id="rId21" w:tooltip="&quot;Соглашение о международном железнодорожном грузовом сообщении (СМГС)&quot; (с изм. и доп. на 01.07.2022) {КонсультантПлюс}">
              <w:r>
                <w:rPr>
                  <w:sz w:val="20"/>
                  <w:color w:val="0000ff"/>
                </w:rPr>
                <w:t xml:space="preserve">соглашение</w:t>
              </w:r>
            </w:hyperlink>
            <w:r>
              <w:rPr>
                <w:sz w:val="20"/>
              </w:rPr>
              <w:t xml:space="preserve"> о международном железнодорожном грузовом сообщении.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выполнения работ приемосдатчика груза и багажа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</w:tcPr>
          <w:bookmarkStart w:id="393" w:name="P393"/>
          <w:bookmarkEnd w:id="393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393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612/1332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6"/>
        <w:gridCol w:w="1833"/>
      </w:tblGrid>
      <w:tr>
        <w:tc>
          <w:tcPr>
            <w:tcW w:w="78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8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</w:tr>
      <w:tr>
        <w:tc>
          <w:tcPr>
            <w:tcW w:w="78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курса железных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информационно-коммуникационных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обработки проездных и перевозочных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билетопечатающих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3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728</w:t>
            <w:br/>
            <w:t>(ред. от 13.07.2021)</w:t>
            <w:br/>
            <w:t>"Об утверждении 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728</w:t>
            <w:br/>
            <w:t>(ред. от 13.07.2021)</w:t>
            <w:br/>
            <w:t>"Об утверждении 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C72BAE16298E7E4D243D0D09917A02B8414EC547B55E4DE5172C47A52D198B5AD6D829E770919127EEA19C8CFEAB878AB9BDD853F5D6C62f313Q" TargetMode = "External"/>
	<Relationship Id="rId8" Type="http://schemas.openxmlformats.org/officeDocument/2006/relationships/hyperlink" Target="consultantplus://offline/ref=8C72BAE16298E7E4D243D0D09917A02B8419E2577D56E4DE5172C47A52D198B5AD6D829E770B181B7CEA19C8CFEAB878AB9BDD853F5D6C62f313Q" TargetMode = "External"/>
	<Relationship Id="rId9" Type="http://schemas.openxmlformats.org/officeDocument/2006/relationships/hyperlink" Target="consultantplus://offline/ref=8C72BAE16298E7E4D243D0D09917A02B8610E95E7A57E4DE5172C47A52D198B5BF6DDA92760D051B7CFF4F9989fB1DQ" TargetMode = "External"/>
	<Relationship Id="rId10" Type="http://schemas.openxmlformats.org/officeDocument/2006/relationships/hyperlink" Target="consultantplus://offline/ref=8C72BAE16298E7E4D243D0D09917A02B8414EC547B55E4DE5172C47A52D198B5AD6D829E770919127EEA19C8CFEAB878AB9BDD853F5D6C62f313Q" TargetMode = "External"/>
	<Relationship Id="rId11" Type="http://schemas.openxmlformats.org/officeDocument/2006/relationships/hyperlink" Target="consultantplus://offline/ref=8C72BAE16298E7E4D243D0D09917A02B8419E2577D56E4DE5172C47A52D198B5AD6D829E770B181B7CEA19C8CFEAB878AB9BDD853F5D6C62f313Q" TargetMode = "External"/>
	<Relationship Id="rId12" Type="http://schemas.openxmlformats.org/officeDocument/2006/relationships/hyperlink" Target="consultantplus://offline/ref=8C72BAE16298E7E4D243D0D09917A02B8313E9537F52E4DE5172C47A52D198B5AD6D829E770B191F79EA19C8CFEAB878AB9BDD853F5D6C62f313Q" TargetMode = "External"/>
	<Relationship Id="rId13" Type="http://schemas.openxmlformats.org/officeDocument/2006/relationships/hyperlink" Target="consultantplus://offline/ref=8C72BAE16298E7E4D243D0D09917A02B8419E2577D56E4DE5172C47A52D198B5AD6D829E770B181B7DEA19C8CFEAB878AB9BDD853F5D6C62f313Q" TargetMode = "External"/>
	<Relationship Id="rId14" Type="http://schemas.openxmlformats.org/officeDocument/2006/relationships/hyperlink" Target="consultantplus://offline/ref=8C72BAE16298E7E4D243D0D09917A02B8419E2577D56E4DE5172C47A52D198B5AD6D829E770B181B7BEA19C8CFEAB878AB9BDD853F5D6C62f313Q" TargetMode = "External"/>
	<Relationship Id="rId15" Type="http://schemas.openxmlformats.org/officeDocument/2006/relationships/hyperlink" Target="consultantplus://offline/ref=8C72BAE16298E7E4D243D0D09917A02B8414EC547B55E4DE5172C47A52D198B5AD6D829E770919127FEA19C8CFEAB878AB9BDD853F5D6C62f313Q" TargetMode = "External"/>
	<Relationship Id="rId16" Type="http://schemas.openxmlformats.org/officeDocument/2006/relationships/hyperlink" Target="consultantplus://offline/ref=8C72BAE16298E7E4D243D0D09917A02B8613EF5E7552E4DE5172C47A52D198B5AD6D829E770B1B1B7EEA19C8CFEAB878AB9BDD853F5D6C62f313Q" TargetMode = "External"/>
	<Relationship Id="rId17" Type="http://schemas.openxmlformats.org/officeDocument/2006/relationships/hyperlink" Target="consultantplus://offline/ref=8C72BAE16298E7E4D243D0D09917A02B8613EF5E7552E4DE5172C47A52D198B5AD6D829E770B1B1B7EEA19C8CFEAB878AB9BDD853F5D6C62f313Q" TargetMode = "External"/>
	<Relationship Id="rId18" Type="http://schemas.openxmlformats.org/officeDocument/2006/relationships/hyperlink" Target="consultantplus://offline/ref=8C72BAE16298E7E4D243D0D09917A02B8312E8537F56E4DE5172C47A52D198B5BF6DDA92760D051B7CFF4F9989fB1DQ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8C72BAE16298E7E4D243D0D09917A02B8311ED5F7D57E4DE5172C47A52D198B5BF6DDA92760D051B7CFF4F9989fB1DQ" TargetMode = "External"/>
	<Relationship Id="rId22" Type="http://schemas.openxmlformats.org/officeDocument/2006/relationships/hyperlink" Target="consultantplus://offline/ref=36A9B8D8D3C67743E4976E34411EB6D612A896D3BA27A115E5D339A8731B5AE1DA092568B7128051BCF5DA6D12F7AD6203AADD4F88910F3Cg21EQ" TargetMode = "External"/>
	<Relationship Id="rId23" Type="http://schemas.openxmlformats.org/officeDocument/2006/relationships/hyperlink" Target="consultantplus://offline/ref=36A9B8D8D3C67743E4976E34411EB6D612A896D3BA27A115E5D339A8731B5AE1DA092568B7128158BFF5DA6D12F7AD6203AADD4F88910F3Cg21EQ" TargetMode = "External"/>
	<Relationship Id="rId24" Type="http://schemas.openxmlformats.org/officeDocument/2006/relationships/hyperlink" Target="consultantplus://offline/ref=36A9B8D8D3C67743E4976E34411EB6D612A896D3BA27A115E5D339A8731B5AE1DA092568B7128158BAF5DA6D12F7AD6203AADD4F88910F3Cg21EQ" TargetMode = "External"/>
	<Relationship Id="rId25" Type="http://schemas.openxmlformats.org/officeDocument/2006/relationships/hyperlink" Target="consultantplus://offline/ref=36A9B8D8D3C67743E4976E34411EB6D612A896D3BA27A115E5D339A8731B5AE1DA092568B7128158B6F5DA6D12F7AD6203AADD4F88910F3Cg21EQ" TargetMode = "External"/>
	<Relationship Id="rId26" Type="http://schemas.openxmlformats.org/officeDocument/2006/relationships/hyperlink" Target="consultantplus://offline/ref=36A9B8D8D3C67743E4976E34411EB6D610AF95D9B420A115E5D339A8731B5AE1DA092568B7108259BEF5DA6D12F7AD6203AADD4F88910F3Cg21EQ" TargetMode = "External"/>
	<Relationship Id="rId27" Type="http://schemas.openxmlformats.org/officeDocument/2006/relationships/hyperlink" Target="consultantplus://offline/ref=36A9B8D8D3C67743E4976E34411EB6D612A896D3BA27A115E5D339A8731B5AE1DA092568B712815ABBF5DA6D12F7AD6203AADD4F88910F3Cg21EQ" TargetMode = "External"/>
	<Relationship Id="rId28" Type="http://schemas.openxmlformats.org/officeDocument/2006/relationships/hyperlink" Target="consultantplus://offline/ref=36A9B8D8D3C67743E4976E34411EB6D615AF93D4BE20A115E5D339A8731B5AE1C8097D64B6169C59BCE08C3C54gA10Q" TargetMode = "External"/>
	<Relationship Id="rId29" Type="http://schemas.openxmlformats.org/officeDocument/2006/relationships/hyperlink" Target="consultantplus://offline/ref=36A9B8D8D3C67743E4976E34411EB6D615AE92D4BE24A115E5D339A8731B5AE1DA09256ABE10890CEFBADB3157A4BE6207AADE4D94g911Q" TargetMode = "External"/>
	<Relationship Id="rId30" Type="http://schemas.openxmlformats.org/officeDocument/2006/relationships/hyperlink" Target="consultantplus://offline/ref=36A9B8D8D3C67743E4976E34411EB6D615AF93D4BE20A115E5D339A8731B5AE1DA092568B7108B59BEF5DA6D12F7AD6203AADD4F88910F3Cg21EQ" TargetMode = "External"/>
	<Relationship Id="rId31" Type="http://schemas.openxmlformats.org/officeDocument/2006/relationships/hyperlink" Target="consultantplus://offline/ref=36A9B8D8D3C67743E4976E34411EB6D612A598D0BC24A115E5D339A8731B5AE1DA092568B7108159B8F5DA6D12F7AD6203AADD4F88910F3Cg21EQ" TargetMode = "External"/>
	<Relationship Id="rId32" Type="http://schemas.openxmlformats.org/officeDocument/2006/relationships/hyperlink" Target="consultantplus://offline/ref=36A9B8D8D3C67743E4976E34411EB6D615AF93D4BE20A115E5D339A8731B5AE1DA092568B7108A58BDF5DA6D12F7AD6203AADD4F88910F3Cg21EQ" TargetMode = "External"/>
	<Relationship Id="rId33" Type="http://schemas.openxmlformats.org/officeDocument/2006/relationships/hyperlink" Target="consultantplus://offline/ref=36A9B8D8D3C67743E4976E34411EB6D615AF93D4BE20A115E5D339A8731B5AE1DA092568B7108B59BCF5DA6D12F7AD6203AADD4F88910F3Cg21E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728
(ред. от 13.07.2021)
"Об утверждении  федерального государственного образовательного стандарта  среднего профессионального образования по профессии 100120.03 Оператор по обработке перевозочных документов на железнодорожном транспорте"
(Зарегистрировано в Минюсте России 20.08.2013 N 29599)</dc:title>
  <dcterms:created xsi:type="dcterms:W3CDTF">2022-12-16T16:53:31Z</dcterms:created>
</cp:coreProperties>
</file>