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Экспедирование грузов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Компетенция «Экспедирование грузов» представляет собой целостный комплекс услуг, направленных на доставку грузов от двери до двери (от продавца покупателю) различными видами транспорта, их полное сопровождение и документальное оформление.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Квалифицированные специалисты в данной области могут организовывать транспортировку грузов любых весогабаритных характеристик и видов, выстраивая надежные и экономически целесообразные цепи поставок. Для этого специалисты должны обладать знаниями в области логистики, внешнеэкономической деятельности, таможенного права, клиентского сервиса, а также владеть английским языком.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Задание 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Конкурсное задание разработано на основе навыков общения, приема, обработки запросов от клиентов, заключения коммерческих сделок, управления внештатными ситуациями, а также на основе знаний процесса международной перевозки грузов, ценообразования.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Описание задания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Участники конкурса: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1. Рассчитывают стоимость международной перевозки грузов.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2. Демонстрируют знания процесса международной транспортировки грузов, правил перевозки специальных грузов (опасные, негабаритные, скоропортящиеся и пр).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3. Консультируют клиентов по различным вопросам в области организации транспортировки грузов (условия поставки, сроки, стоимость, риски и т. д.).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4. Заполняют международные транспортные документы.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5. Проводят презентацию транспортно-логистической компании.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6. Демонстрируют навыки общения с клиентом по телефону и электронной почте.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7. Решают нештатные и конфликтные ситуации во время доставки грузов.</w:t>
      </w:r>
      <w:r w:rsidDel="00000000" w:rsidR="00000000" w:rsidRPr="00000000">
        <w:rPr>
          <w:rFonts w:ascii="Arial" w:cs="Arial" w:eastAsia="Arial" w:hAnsi="Arial"/>
          <w:color w:val="500050"/>
          <w:sz w:val="19"/>
          <w:szCs w:val="19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Критерии оценки</w:t>
        <w:br w:type="textWrapping"/>
        <w:t xml:space="preserve">При оценке конкурсных заданий участников необходимо учитывать навыки: 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- общения с клиентом,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- управления конфликтными ситуациями,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- презентации,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- расчета затрат, прибыли и стоимости услуг,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- оформления транспортных и сопроводительных документов, 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- подбора наиболее подходящего вида транспортировки груза (море, авиа, авто, ж/д).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