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before="10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Графический дизайн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00" w:before="18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  <w:t xml:space="preserve">Компетенция «Графический дизайн» представляет собой способность визуализировать  оформление окружающей среды средствами графики. Квалифицированные специалисты этой компетенции  работают над дизайном вывесок, рекламных щитов, плакатов, а также заботятся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 Специалисты создают продукты при помощи программного обеспечения и подготавливают их к исполнению в печати или он-лайн.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00" w:before="180" w:line="240" w:lineRule="auto"/>
        <w:rPr/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00" w:before="18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00" w:before="18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  <w:t xml:space="preserve">Конкурсное задание состоит только из практических заданий.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  <w:t xml:space="preserve">И  демонстрирует квалификацию в данном виде мастерства.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00" w:before="18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Описание задания: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00" w:before="18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Участники конкурса выполняют: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помощи знаний по  композиции и дизайну создают продукты фирменного стиля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Продумывают и макетируют продукты информационного дизайна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основе знаний по технологии изготовления печатной продукции готовят продукты многостраничного дизайна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Моделируют упаковку и умеют ее конструировать 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 Критерии оценки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При оценке конкурсных заданий участников необходимо учитывать навыки: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принципы работы с клиентом и учитывание его потребности при разработке дизайна;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понимание различных целевых рынков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знание принципов эстетического и творческого дизайна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понимание концепции и конкретных элементов дизайна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знание общих требований для печати и интерактивности, технических стандартов для изготовления продукции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знание правил оформления текста и элементов текстовой и графической информации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использование точных измерений.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умение создавать карандашные и выклеенные макеты изданий.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умение  использовать и размещать элементы графики в хорошо сбалансированной композиции.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