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F4" w:rsidRPr="00BC2EF4" w:rsidRDefault="00BC2EF4" w:rsidP="00BC2EF4">
      <w:pPr>
        <w:pStyle w:val="Default"/>
        <w:widowControl w:val="0"/>
        <w:spacing w:before="120" w:after="120"/>
        <w:ind w:firstLine="709"/>
        <w:jc w:val="both"/>
        <w:rPr>
          <w:b/>
          <w:color w:val="auto"/>
          <w:spacing w:val="-6"/>
          <w:sz w:val="28"/>
          <w:szCs w:val="28"/>
        </w:rPr>
      </w:pPr>
      <w:r w:rsidRPr="00BC2EF4">
        <w:rPr>
          <w:b/>
          <w:color w:val="auto"/>
          <w:spacing w:val="-6"/>
          <w:sz w:val="28"/>
          <w:szCs w:val="28"/>
        </w:rPr>
        <w:t xml:space="preserve">Исчерпывающий перечень </w:t>
      </w:r>
      <w:r w:rsidRPr="00BC2EF4">
        <w:rPr>
          <w:b/>
          <w:bCs/>
          <w:color w:val="auto"/>
          <w:spacing w:val="-6"/>
          <w:sz w:val="28"/>
          <w:szCs w:val="28"/>
        </w:rPr>
        <w:t>оснований для отказа в приеме</w:t>
      </w:r>
      <w:r>
        <w:rPr>
          <w:b/>
          <w:bCs/>
          <w:color w:val="auto"/>
          <w:spacing w:val="-6"/>
          <w:sz w:val="28"/>
          <w:szCs w:val="28"/>
        </w:rPr>
        <w:t xml:space="preserve"> </w:t>
      </w:r>
      <w:r w:rsidRPr="00BC2EF4">
        <w:rPr>
          <w:b/>
          <w:color w:val="auto"/>
          <w:spacing w:val="-6"/>
          <w:sz w:val="28"/>
          <w:szCs w:val="28"/>
        </w:rPr>
        <w:t>документов, необходимых для предоставления государственной услуги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t>Основаниями для отказа в приеме документов для предоставл</w:t>
      </w:r>
      <w:r w:rsidRPr="00BC2EF4">
        <w:rPr>
          <w:color w:val="auto"/>
        </w:rPr>
        <w:t>е</w:t>
      </w:r>
      <w:r w:rsidRPr="00BC2EF4">
        <w:rPr>
          <w:color w:val="auto"/>
        </w:rPr>
        <w:t>ния государственной услуги являются: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t>1)</w:t>
      </w:r>
      <w:r w:rsidRPr="00BC2EF4">
        <w:rPr>
          <w:color w:val="auto"/>
        </w:rPr>
        <w:t>заявителем представлен неполный комплект документов, необход</w:t>
      </w:r>
      <w:r w:rsidRPr="00BC2EF4">
        <w:rPr>
          <w:color w:val="auto"/>
        </w:rPr>
        <w:t>и</w:t>
      </w:r>
      <w:r w:rsidRPr="00BC2EF4">
        <w:rPr>
          <w:color w:val="auto"/>
        </w:rPr>
        <w:t xml:space="preserve">мых для предоставления государственной услуги; 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</w:pPr>
      <w:r w:rsidRPr="00BC2EF4">
        <w:rPr>
          <w:color w:val="auto"/>
        </w:rPr>
        <w:t xml:space="preserve">2) некорректно заполнено </w:t>
      </w:r>
      <w:r w:rsidRPr="00BC2EF4">
        <w:t>Заявление и представленные документы, в том числе при представлении документов в электронном виде</w:t>
      </w:r>
      <w:r w:rsidRPr="00BC2EF4">
        <w:rPr>
          <w:color w:val="auto"/>
        </w:rPr>
        <w:t xml:space="preserve"> на ЕПГУ</w:t>
      </w:r>
      <w:r w:rsidRPr="00BC2EF4">
        <w:t>: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t>отсутствие заполнения, недостоверное, неполное либо неправильное, несоответствующее требованиям, установленным нормативными правовыми актами Российской Федерации, локальными нормативными актами Орган</w:t>
      </w:r>
      <w:r w:rsidRPr="00BC2EF4">
        <w:rPr>
          <w:color w:val="auto"/>
        </w:rPr>
        <w:t>и</w:t>
      </w:r>
      <w:r w:rsidRPr="00BC2EF4">
        <w:rPr>
          <w:color w:val="auto"/>
        </w:rPr>
        <w:t xml:space="preserve">зации и настоящим административным регламентом; 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</w:pPr>
      <w:r w:rsidRPr="00BC2EF4">
        <w:t>электронные документы представлены в форматах, не предусмотре</w:t>
      </w:r>
      <w:r w:rsidRPr="00BC2EF4">
        <w:t>н</w:t>
      </w:r>
      <w:r w:rsidRPr="00BC2EF4">
        <w:t>ных настоящим административным регламентом;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</w:pPr>
      <w:r w:rsidRPr="00BC2EF4">
        <w:t>нарушены требования к сканированию представляемых документов, предусмотренные настоящим административным регламентом;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t>3) подача Заявления и иных документов в электронной форме, подп</w:t>
      </w:r>
      <w:r w:rsidRPr="00BC2EF4">
        <w:rPr>
          <w:color w:val="auto"/>
        </w:rPr>
        <w:t>и</w:t>
      </w:r>
      <w:r w:rsidRPr="00BC2EF4">
        <w:rPr>
          <w:color w:val="auto"/>
        </w:rPr>
        <w:t xml:space="preserve">санных с использованием электронной подписи (далее – ЭП), не принадлежащей заявителю или представителю заявителя; 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</w:pPr>
      <w:r w:rsidRPr="00BC2EF4">
        <w:t xml:space="preserve">4) не </w:t>
      </w:r>
      <w:proofErr w:type="gramStart"/>
      <w:r w:rsidRPr="00BC2EF4">
        <w:t>указаны</w:t>
      </w:r>
      <w:proofErr w:type="gramEnd"/>
      <w:r w:rsidRPr="00BC2EF4">
        <w:t xml:space="preserve"> фамилия, имя, отчество, адрес заявителя (его представ</w:t>
      </w:r>
      <w:r w:rsidRPr="00BC2EF4">
        <w:t>и</w:t>
      </w:r>
      <w:r w:rsidRPr="00BC2EF4">
        <w:t>теля), почтовый адрес, по которому должен быть направлен ответ заявителю;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t>5) поступление Заявления, аналогичного ранее зарегистрированному Заявлению, срок предоставления государственной услуги по которому не и</w:t>
      </w:r>
      <w:r w:rsidRPr="00BC2EF4">
        <w:rPr>
          <w:color w:val="auto"/>
        </w:rPr>
        <w:t>с</w:t>
      </w:r>
      <w:r w:rsidRPr="00BC2EF4">
        <w:rPr>
          <w:color w:val="auto"/>
        </w:rPr>
        <w:t>тек на момент поступления такого Заявления;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</w:pPr>
      <w:r w:rsidRPr="00BC2EF4">
        <w:t>6) в Заявлении содержатся нецензурные либо оскорбительные выраж</w:t>
      </w:r>
      <w:r w:rsidRPr="00BC2EF4">
        <w:t>е</w:t>
      </w:r>
      <w:r w:rsidRPr="00BC2EF4">
        <w:t xml:space="preserve">ния, угрозы жизни, здоровью, имуществу должностного лица, а также членов его семьи, при этом </w:t>
      </w:r>
      <w:proofErr w:type="spellStart"/>
      <w:r w:rsidRPr="00BC2EF4">
        <w:t>заявителюсообщается</w:t>
      </w:r>
      <w:proofErr w:type="spellEnd"/>
      <w:r w:rsidRPr="00BC2EF4">
        <w:t xml:space="preserve"> о недопустимости злоупотребл</w:t>
      </w:r>
      <w:r w:rsidRPr="00BC2EF4">
        <w:t>е</w:t>
      </w:r>
      <w:r w:rsidRPr="00BC2EF4">
        <w:t>ния правом.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</w:pPr>
      <w:r w:rsidRPr="00BC2EF4">
        <w:t>В случае наличия оснований, работником приемной комиссии Организации заявителю сообщается об отказе в приеме документов с указанием причин отказа в срок не позднее трех дней с момента получения от заявителя (представителя за</w:t>
      </w:r>
      <w:r w:rsidRPr="00BC2EF4">
        <w:t>я</w:t>
      </w:r>
      <w:r w:rsidRPr="00BC2EF4">
        <w:t>вителя) документов.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</w:pPr>
      <w:r w:rsidRPr="00BC2EF4">
        <w:t>Решение об отказе в приеме документов подписывается уполн</w:t>
      </w:r>
      <w:r w:rsidRPr="00BC2EF4">
        <w:t>о</w:t>
      </w:r>
      <w:r w:rsidRPr="00BC2EF4">
        <w:t>моченным должностным лицом и выдается заявителю с указанием причин отказа.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</w:pPr>
      <w:r w:rsidRPr="00BC2EF4">
        <w:t>В случае принятия решения об отказе в приеме документов, необход</w:t>
      </w:r>
      <w:r w:rsidRPr="00BC2EF4">
        <w:t>и</w:t>
      </w:r>
      <w:r w:rsidRPr="00BC2EF4">
        <w:t>мых для предоставления государственной услуги, специалисты приемной комиссии Организации письменно уведомляют заявителя с объяснением причин отказа: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</w:pPr>
      <w:r w:rsidRPr="00BC2EF4">
        <w:t>1)при обращении через ЕПГУ решение об отказе в приеме документов, необходимых для предоставления государственной услуги, оформляется по форме, приведенной в приложении № 3 к настоящему административному регламенту, в виде электронного документа направляется в личный кабинет заявителя на ЕПГУ не позднее трех рабочих дней, следующих за днем под</w:t>
      </w:r>
      <w:r w:rsidRPr="00BC2EF4">
        <w:t>а</w:t>
      </w:r>
      <w:r w:rsidRPr="00BC2EF4">
        <w:t xml:space="preserve">чи Заявления. 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</w:pPr>
      <w:r w:rsidRPr="00BC2EF4">
        <w:t>2) выдача решения об отказе в приеме документов, необходимых для предоставления государственной услуги, в случае обращения заявителя в Организацию в иных формах, предусмотренных законодательством Российской Федерации, устанавливается локальным нормативным актом Орг</w:t>
      </w:r>
      <w:r w:rsidRPr="00BC2EF4">
        <w:t>а</w:t>
      </w:r>
      <w:r w:rsidRPr="00BC2EF4">
        <w:t>низации, который размещается на официальном сайте Организации.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</w:pPr>
      <w:r w:rsidRPr="00BC2EF4">
        <w:t xml:space="preserve"> Отказ в приеме документов, необходимых для предоставления государственной услуги, не препятствует повторному обращению заявителя в Организацию за предоставлением государственной услуги. </w:t>
      </w:r>
    </w:p>
    <w:p w:rsidR="00BC2EF4" w:rsidRPr="00BC2EF4" w:rsidRDefault="00BC2EF4" w:rsidP="00BC2EF4">
      <w:pPr>
        <w:pStyle w:val="Default"/>
        <w:widowControl w:val="0"/>
        <w:spacing w:before="120" w:after="120"/>
        <w:ind w:firstLine="709"/>
        <w:jc w:val="center"/>
        <w:rPr>
          <w:b/>
          <w:color w:val="auto"/>
          <w:spacing w:val="-6"/>
        </w:rPr>
      </w:pPr>
      <w:r w:rsidRPr="00BC2EF4">
        <w:rPr>
          <w:b/>
          <w:color w:val="auto"/>
          <w:spacing w:val="-6"/>
        </w:rPr>
        <w:t>Исчерпывающий перечень оснований для приостановления или отказа в предоставлении государственной услуги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lastRenderedPageBreak/>
        <w:t>Основания для приостановления предоставления государстве</w:t>
      </w:r>
      <w:r w:rsidRPr="00BC2EF4">
        <w:rPr>
          <w:color w:val="auto"/>
        </w:rPr>
        <w:t>н</w:t>
      </w:r>
      <w:r w:rsidRPr="00BC2EF4">
        <w:rPr>
          <w:color w:val="auto"/>
        </w:rPr>
        <w:t xml:space="preserve">ной услуги отсутствуют. 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t>Основаниями для отказа в предоставлении государственной усл</w:t>
      </w:r>
      <w:r w:rsidRPr="00BC2EF4">
        <w:rPr>
          <w:color w:val="auto"/>
        </w:rPr>
        <w:t>у</w:t>
      </w:r>
      <w:r w:rsidRPr="00BC2EF4">
        <w:rPr>
          <w:color w:val="auto"/>
        </w:rPr>
        <w:t xml:space="preserve">ги являются: 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t xml:space="preserve">1) наличие противоречивых сведений в Заявлении и приложенных к нему документах; 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t xml:space="preserve">2) несоответствие заявителя кругу лиц,  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t>3) несоответствие документов, по форме или содержанию требованиям з</w:t>
      </w:r>
      <w:r w:rsidRPr="00BC2EF4">
        <w:rPr>
          <w:color w:val="auto"/>
        </w:rPr>
        <w:t>а</w:t>
      </w:r>
      <w:r w:rsidRPr="00BC2EF4">
        <w:rPr>
          <w:color w:val="auto"/>
        </w:rPr>
        <w:t xml:space="preserve">конодательства Российской Федерации; 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t xml:space="preserve">4) отзыв Заявления по инициативе заявителя; 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t xml:space="preserve">5) непредставление оригиналов документов, сведения о которых указаны заявителем в электронной форме Заявления на </w:t>
      </w:r>
      <w:proofErr w:type="spellStart"/>
      <w:r w:rsidRPr="00BC2EF4">
        <w:rPr>
          <w:color w:val="auto"/>
        </w:rPr>
        <w:t>ЕПГУв</w:t>
      </w:r>
      <w:proofErr w:type="spellEnd"/>
      <w:r w:rsidRPr="00BC2EF4">
        <w:rPr>
          <w:color w:val="auto"/>
        </w:rPr>
        <w:t xml:space="preserve"> сроки, предусмо</w:t>
      </w:r>
      <w:r w:rsidRPr="00BC2EF4">
        <w:rPr>
          <w:color w:val="auto"/>
        </w:rPr>
        <w:t>т</w:t>
      </w:r>
      <w:r w:rsidRPr="00BC2EF4">
        <w:rPr>
          <w:color w:val="auto"/>
        </w:rPr>
        <w:t xml:space="preserve">ренные локальным нормативным актом Организации; 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t xml:space="preserve">6) несоответствие оригиналов документов сведениям, указанным в Заявлении или в электронной форме Заявления на ЕПГУ; 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t>7) предоставление заявителем сведений, не соответствующих действ</w:t>
      </w:r>
      <w:r w:rsidRPr="00BC2EF4">
        <w:rPr>
          <w:color w:val="auto"/>
        </w:rPr>
        <w:t>и</w:t>
      </w:r>
      <w:r w:rsidRPr="00BC2EF4">
        <w:rPr>
          <w:color w:val="auto"/>
        </w:rPr>
        <w:t>тельности.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t>Услуг, которые являются необходимыми и обязательными для предоставления государственной услуги, законодательством Российской Федерации не предусмотрено.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t>Заявитель вправе отказаться от получения государственной усл</w:t>
      </w:r>
      <w:r w:rsidRPr="00BC2EF4">
        <w:rPr>
          <w:color w:val="auto"/>
        </w:rPr>
        <w:t>у</w:t>
      </w:r>
      <w:r w:rsidRPr="00BC2EF4">
        <w:rPr>
          <w:color w:val="auto"/>
        </w:rPr>
        <w:t>ги на основании заявления, оформленного по форме, приведенной в приложении № 4 к настоящему административному регламенту, обратившись в Организацию, а также посредством ЕПГУ в личном кабинете заяв</w:t>
      </w:r>
      <w:r w:rsidRPr="00BC2EF4">
        <w:rPr>
          <w:color w:val="auto"/>
        </w:rPr>
        <w:t>и</w:t>
      </w:r>
      <w:r w:rsidRPr="00BC2EF4">
        <w:rPr>
          <w:color w:val="auto"/>
        </w:rPr>
        <w:t xml:space="preserve">теля. 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t>На основании поступившего заявления об отказе от предоставления г</w:t>
      </w:r>
      <w:r w:rsidRPr="00BC2EF4">
        <w:rPr>
          <w:color w:val="auto"/>
        </w:rPr>
        <w:t>о</w:t>
      </w:r>
      <w:r w:rsidRPr="00BC2EF4">
        <w:rPr>
          <w:color w:val="auto"/>
        </w:rPr>
        <w:t xml:space="preserve">сударственной услуги специалистами приемной комиссии Организации, принимается решение об отказе в предоставлении государственной услуги. 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t>Отказ от предоставления государственной услуги не препятствует повторному обращению заявителя в Организацию за предоставлением госуда</w:t>
      </w:r>
      <w:r w:rsidRPr="00BC2EF4">
        <w:rPr>
          <w:color w:val="auto"/>
        </w:rPr>
        <w:t>р</w:t>
      </w:r>
      <w:r w:rsidRPr="00BC2EF4">
        <w:rPr>
          <w:color w:val="auto"/>
        </w:rPr>
        <w:t xml:space="preserve">ственной услуги. </w:t>
      </w:r>
    </w:p>
    <w:p w:rsidR="00BC2EF4" w:rsidRPr="00BC2EF4" w:rsidRDefault="00BC2EF4" w:rsidP="00BC2EF4">
      <w:pPr>
        <w:pStyle w:val="Default"/>
        <w:widowControl w:val="0"/>
        <w:ind w:firstLine="709"/>
        <w:jc w:val="both"/>
        <w:rPr>
          <w:color w:val="auto"/>
        </w:rPr>
      </w:pPr>
      <w:r w:rsidRPr="00BC2EF4">
        <w:rPr>
          <w:color w:val="auto"/>
        </w:rPr>
        <w:t>Заявитель вправе повторно обратиться в Организацию с Заявл</w:t>
      </w:r>
      <w:r w:rsidRPr="00BC2EF4">
        <w:rPr>
          <w:color w:val="auto"/>
        </w:rPr>
        <w:t>е</w:t>
      </w:r>
      <w:r w:rsidRPr="00BC2EF4">
        <w:rPr>
          <w:color w:val="auto"/>
        </w:rPr>
        <w:t>нием после устранения оснований</w:t>
      </w:r>
    </w:p>
    <w:sectPr w:rsidR="00BC2EF4" w:rsidRPr="00BC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C2EF4"/>
    <w:rsid w:val="00BC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2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C2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4163</Characters>
  <Application>Microsoft Office Word</Application>
  <DocSecurity>0</DocSecurity>
  <Lines>34</Lines>
  <Paragraphs>9</Paragraphs>
  <ScaleCrop>false</ScaleCrop>
  <Company>Microsoft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NAVICOM</dc:creator>
  <cp:keywords/>
  <dc:description/>
  <cp:lastModifiedBy>NAVICOM</cp:lastModifiedBy>
  <cp:revision>2</cp:revision>
  <dcterms:created xsi:type="dcterms:W3CDTF">2022-06-30T07:46:00Z</dcterms:created>
  <dcterms:modified xsi:type="dcterms:W3CDTF">2022-06-30T07:50:00Z</dcterms:modified>
</cp:coreProperties>
</file>